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B255" w14:textId="77777777" w:rsidR="008A45D8" w:rsidRDefault="004A087B" w:rsidP="009F6CE7">
      <w:pPr>
        <w:pStyle w:val="Title"/>
        <w:jc w:val="center"/>
      </w:pPr>
      <w:r>
        <w:t>SEFAM Medical Ltd</w:t>
      </w:r>
      <w:r>
        <w:br/>
        <w:t>Carbon Reduction Plan</w:t>
      </w:r>
    </w:p>
    <w:p w14:paraId="59995C97" w14:textId="77777777" w:rsidR="008A45D8" w:rsidRDefault="004A087B">
      <w:r>
        <w:t>Publication Date: 19 February 2026</w:t>
      </w:r>
    </w:p>
    <w:p w14:paraId="6B81F47B" w14:textId="77777777" w:rsidR="008A45D8" w:rsidRDefault="004A087B">
      <w:r>
        <w:t>Supplier Name: Sefam Medical Ltd</w:t>
      </w:r>
    </w:p>
    <w:p w14:paraId="738CF48A" w14:textId="77777777" w:rsidR="008A45D8" w:rsidRDefault="008A45D8"/>
    <w:p w14:paraId="018E3485" w14:textId="77777777" w:rsidR="008A45D8" w:rsidRDefault="004A087B">
      <w:r>
        <w:t>Sefam Medical Ltd is committed to achieving Net Zero greenhouse gas emissions by 2050 in accordance with UK Government requirements under PPN 06/21.</w:t>
      </w:r>
    </w:p>
    <w:p w14:paraId="47817276" w14:textId="77777777" w:rsidR="008A45D8" w:rsidRDefault="004A087B" w:rsidP="009F6CE7">
      <w:pPr>
        <w:pStyle w:val="Heading1"/>
        <w:jc w:val="center"/>
      </w:pPr>
      <w:r>
        <w:t>Baseline Emissions Footprint (2023)</w:t>
      </w:r>
    </w:p>
    <w:p w14:paraId="4C10EFC9" w14:textId="77777777" w:rsidR="008A45D8" w:rsidRDefault="004A087B">
      <w:r>
        <w:t>Baseline Year: 1 January 2023 – 31 December 2023</w:t>
      </w:r>
    </w:p>
    <w:tbl>
      <w:tblPr>
        <w:tblW w:w="0" w:type="auto"/>
        <w:tblLook w:val="04A0" w:firstRow="1" w:lastRow="0" w:firstColumn="1" w:lastColumn="0" w:noHBand="0" w:noVBand="1"/>
      </w:tblPr>
      <w:tblGrid>
        <w:gridCol w:w="4320"/>
        <w:gridCol w:w="4320"/>
      </w:tblGrid>
      <w:tr w:rsidR="008A45D8" w14:paraId="7EC3727F" w14:textId="77777777">
        <w:tc>
          <w:tcPr>
            <w:tcW w:w="4320" w:type="dxa"/>
          </w:tcPr>
          <w:p w14:paraId="40CBCBEF" w14:textId="77777777" w:rsidR="008A45D8" w:rsidRDefault="004A087B">
            <w:r>
              <w:t>Scope</w:t>
            </w:r>
          </w:p>
        </w:tc>
        <w:tc>
          <w:tcPr>
            <w:tcW w:w="4320" w:type="dxa"/>
          </w:tcPr>
          <w:p w14:paraId="655B6876" w14:textId="77777777" w:rsidR="008A45D8" w:rsidRDefault="004A087B">
            <w:r>
              <w:t>tCO2e</w:t>
            </w:r>
          </w:p>
        </w:tc>
      </w:tr>
      <w:tr w:rsidR="008A45D8" w14:paraId="37AE6274" w14:textId="77777777">
        <w:tc>
          <w:tcPr>
            <w:tcW w:w="4320" w:type="dxa"/>
          </w:tcPr>
          <w:p w14:paraId="2B0C671A" w14:textId="77777777" w:rsidR="008A45D8" w:rsidRDefault="004A087B">
            <w:r>
              <w:t>Scope 1</w:t>
            </w:r>
          </w:p>
        </w:tc>
        <w:tc>
          <w:tcPr>
            <w:tcW w:w="4320" w:type="dxa"/>
          </w:tcPr>
          <w:p w14:paraId="15DC18C1" w14:textId="77777777" w:rsidR="008A45D8" w:rsidRDefault="004A087B">
            <w:r>
              <w:t>12.3</w:t>
            </w:r>
          </w:p>
        </w:tc>
      </w:tr>
      <w:tr w:rsidR="008A45D8" w14:paraId="44B156F3" w14:textId="77777777">
        <w:tc>
          <w:tcPr>
            <w:tcW w:w="4320" w:type="dxa"/>
          </w:tcPr>
          <w:p w14:paraId="3803DAC7" w14:textId="77777777" w:rsidR="008A45D8" w:rsidRDefault="004A087B">
            <w:r>
              <w:t>Scope 2</w:t>
            </w:r>
          </w:p>
        </w:tc>
        <w:tc>
          <w:tcPr>
            <w:tcW w:w="4320" w:type="dxa"/>
          </w:tcPr>
          <w:p w14:paraId="06ECC795" w14:textId="77777777" w:rsidR="008A45D8" w:rsidRDefault="004A087B">
            <w:r>
              <w:t>11.7</w:t>
            </w:r>
          </w:p>
        </w:tc>
      </w:tr>
      <w:tr w:rsidR="008A45D8" w14:paraId="4F381C63" w14:textId="77777777">
        <w:tc>
          <w:tcPr>
            <w:tcW w:w="4320" w:type="dxa"/>
          </w:tcPr>
          <w:p w14:paraId="62618E7A" w14:textId="77777777" w:rsidR="008A45D8" w:rsidRDefault="004A087B">
            <w:r>
              <w:t>Scope 3 (included sources)</w:t>
            </w:r>
          </w:p>
        </w:tc>
        <w:tc>
          <w:tcPr>
            <w:tcW w:w="4320" w:type="dxa"/>
          </w:tcPr>
          <w:p w14:paraId="53A3D53B" w14:textId="77777777" w:rsidR="008A45D8" w:rsidRDefault="004A087B">
            <w:r>
              <w:t>530.3</w:t>
            </w:r>
          </w:p>
        </w:tc>
      </w:tr>
      <w:tr w:rsidR="008A45D8" w14:paraId="457C9257" w14:textId="77777777">
        <w:tc>
          <w:tcPr>
            <w:tcW w:w="4320" w:type="dxa"/>
          </w:tcPr>
          <w:p w14:paraId="36A5E7A5" w14:textId="77777777" w:rsidR="008A45D8" w:rsidRDefault="004A087B">
            <w:r>
              <w:t>Total</w:t>
            </w:r>
          </w:p>
        </w:tc>
        <w:tc>
          <w:tcPr>
            <w:tcW w:w="4320" w:type="dxa"/>
          </w:tcPr>
          <w:p w14:paraId="15B46B14" w14:textId="77777777" w:rsidR="008A45D8" w:rsidRDefault="004A087B">
            <w:r>
              <w:t>554.26</w:t>
            </w:r>
          </w:p>
        </w:tc>
      </w:tr>
    </w:tbl>
    <w:p w14:paraId="5706F6A9" w14:textId="77777777" w:rsidR="008A45D8" w:rsidRDefault="004A087B" w:rsidP="009F6CE7">
      <w:pPr>
        <w:pStyle w:val="Heading1"/>
        <w:jc w:val="center"/>
      </w:pPr>
      <w:r>
        <w:t>Emissions Comparison (2023–2025)</w:t>
      </w:r>
    </w:p>
    <w:tbl>
      <w:tblPr>
        <w:tblW w:w="0" w:type="auto"/>
        <w:tblLook w:val="04A0" w:firstRow="1" w:lastRow="0" w:firstColumn="1" w:lastColumn="0" w:noHBand="0" w:noVBand="1"/>
      </w:tblPr>
      <w:tblGrid>
        <w:gridCol w:w="1728"/>
        <w:gridCol w:w="1728"/>
        <w:gridCol w:w="1728"/>
        <w:gridCol w:w="1728"/>
        <w:gridCol w:w="1728"/>
      </w:tblGrid>
      <w:tr w:rsidR="008A45D8" w14:paraId="239F2B61" w14:textId="77777777">
        <w:tc>
          <w:tcPr>
            <w:tcW w:w="1728" w:type="dxa"/>
          </w:tcPr>
          <w:p w14:paraId="4131902E" w14:textId="77777777" w:rsidR="008A45D8" w:rsidRDefault="004A087B">
            <w:r>
              <w:t>Year</w:t>
            </w:r>
          </w:p>
        </w:tc>
        <w:tc>
          <w:tcPr>
            <w:tcW w:w="1728" w:type="dxa"/>
          </w:tcPr>
          <w:p w14:paraId="257505EF" w14:textId="77777777" w:rsidR="008A45D8" w:rsidRDefault="004A087B">
            <w:r>
              <w:t>Scope 1</w:t>
            </w:r>
          </w:p>
        </w:tc>
        <w:tc>
          <w:tcPr>
            <w:tcW w:w="1728" w:type="dxa"/>
          </w:tcPr>
          <w:p w14:paraId="157177C5" w14:textId="77777777" w:rsidR="008A45D8" w:rsidRDefault="004A087B">
            <w:r>
              <w:t>Scope 2</w:t>
            </w:r>
          </w:p>
        </w:tc>
        <w:tc>
          <w:tcPr>
            <w:tcW w:w="1728" w:type="dxa"/>
          </w:tcPr>
          <w:p w14:paraId="3D0C8128" w14:textId="77777777" w:rsidR="008A45D8" w:rsidRDefault="004A087B">
            <w:r>
              <w:t>Scope 3</w:t>
            </w:r>
          </w:p>
        </w:tc>
        <w:tc>
          <w:tcPr>
            <w:tcW w:w="1728" w:type="dxa"/>
          </w:tcPr>
          <w:p w14:paraId="23C3A50A" w14:textId="77777777" w:rsidR="008A45D8" w:rsidRDefault="004A087B">
            <w:r>
              <w:t>Total</w:t>
            </w:r>
          </w:p>
        </w:tc>
      </w:tr>
      <w:tr w:rsidR="008A45D8" w14:paraId="291D1E0A" w14:textId="77777777">
        <w:tc>
          <w:tcPr>
            <w:tcW w:w="1728" w:type="dxa"/>
          </w:tcPr>
          <w:p w14:paraId="2C4FEB4D" w14:textId="77777777" w:rsidR="008A45D8" w:rsidRDefault="004A087B">
            <w:r>
              <w:t>2023</w:t>
            </w:r>
          </w:p>
        </w:tc>
        <w:tc>
          <w:tcPr>
            <w:tcW w:w="1728" w:type="dxa"/>
          </w:tcPr>
          <w:p w14:paraId="1102B241" w14:textId="77777777" w:rsidR="008A45D8" w:rsidRDefault="004A087B">
            <w:r>
              <w:t>12.3</w:t>
            </w:r>
          </w:p>
        </w:tc>
        <w:tc>
          <w:tcPr>
            <w:tcW w:w="1728" w:type="dxa"/>
          </w:tcPr>
          <w:p w14:paraId="2F7D33D1" w14:textId="77777777" w:rsidR="008A45D8" w:rsidRDefault="004A087B">
            <w:r>
              <w:t>11.7</w:t>
            </w:r>
          </w:p>
        </w:tc>
        <w:tc>
          <w:tcPr>
            <w:tcW w:w="1728" w:type="dxa"/>
          </w:tcPr>
          <w:p w14:paraId="7139A859" w14:textId="77777777" w:rsidR="008A45D8" w:rsidRDefault="004A087B">
            <w:r>
              <w:t>530.3</w:t>
            </w:r>
          </w:p>
        </w:tc>
        <w:tc>
          <w:tcPr>
            <w:tcW w:w="1728" w:type="dxa"/>
          </w:tcPr>
          <w:p w14:paraId="4BFC4CDA" w14:textId="77777777" w:rsidR="008A45D8" w:rsidRDefault="004A087B">
            <w:r>
              <w:t>554.26</w:t>
            </w:r>
          </w:p>
        </w:tc>
      </w:tr>
      <w:tr w:rsidR="008A45D8" w14:paraId="74F18BF1" w14:textId="77777777">
        <w:tc>
          <w:tcPr>
            <w:tcW w:w="1728" w:type="dxa"/>
          </w:tcPr>
          <w:p w14:paraId="5D162D1D" w14:textId="77777777" w:rsidR="008A45D8" w:rsidRDefault="004A087B">
            <w:r>
              <w:t>2024</w:t>
            </w:r>
          </w:p>
        </w:tc>
        <w:tc>
          <w:tcPr>
            <w:tcW w:w="1728" w:type="dxa"/>
          </w:tcPr>
          <w:p w14:paraId="36CD9651" w14:textId="77777777" w:rsidR="008A45D8" w:rsidRDefault="004A087B">
            <w:r>
              <w:t>12.91</w:t>
            </w:r>
          </w:p>
        </w:tc>
        <w:tc>
          <w:tcPr>
            <w:tcW w:w="1728" w:type="dxa"/>
          </w:tcPr>
          <w:p w14:paraId="080C60AB" w14:textId="77777777" w:rsidR="008A45D8" w:rsidRDefault="004A087B">
            <w:r>
              <w:t>26.01</w:t>
            </w:r>
          </w:p>
        </w:tc>
        <w:tc>
          <w:tcPr>
            <w:tcW w:w="1728" w:type="dxa"/>
          </w:tcPr>
          <w:p w14:paraId="5DE53F49" w14:textId="77777777" w:rsidR="008A45D8" w:rsidRDefault="004A087B">
            <w:r>
              <w:t>148.34</w:t>
            </w:r>
          </w:p>
        </w:tc>
        <w:tc>
          <w:tcPr>
            <w:tcW w:w="1728" w:type="dxa"/>
          </w:tcPr>
          <w:p w14:paraId="3EB9B214" w14:textId="77777777" w:rsidR="008A45D8" w:rsidRDefault="004A087B">
            <w:r>
              <w:t>187.26</w:t>
            </w:r>
          </w:p>
        </w:tc>
      </w:tr>
      <w:tr w:rsidR="008A45D8" w14:paraId="31D2A850" w14:textId="77777777">
        <w:tc>
          <w:tcPr>
            <w:tcW w:w="1728" w:type="dxa"/>
          </w:tcPr>
          <w:p w14:paraId="7192A538" w14:textId="77777777" w:rsidR="008A45D8" w:rsidRDefault="004A087B">
            <w:r>
              <w:t>2025</w:t>
            </w:r>
          </w:p>
        </w:tc>
        <w:tc>
          <w:tcPr>
            <w:tcW w:w="1728" w:type="dxa"/>
          </w:tcPr>
          <w:p w14:paraId="21D93B2C" w14:textId="77777777" w:rsidR="008A45D8" w:rsidRDefault="004A087B">
            <w:r>
              <w:t>0</w:t>
            </w:r>
          </w:p>
        </w:tc>
        <w:tc>
          <w:tcPr>
            <w:tcW w:w="1728" w:type="dxa"/>
          </w:tcPr>
          <w:p w14:paraId="25BFDB21" w14:textId="77777777" w:rsidR="008A45D8" w:rsidRDefault="004A087B">
            <w:r>
              <w:t>1.46</w:t>
            </w:r>
          </w:p>
        </w:tc>
        <w:tc>
          <w:tcPr>
            <w:tcW w:w="1728" w:type="dxa"/>
          </w:tcPr>
          <w:p w14:paraId="4C465A27" w14:textId="77777777" w:rsidR="008A45D8" w:rsidRDefault="004A087B">
            <w:r>
              <w:t>39.49</w:t>
            </w:r>
          </w:p>
        </w:tc>
        <w:tc>
          <w:tcPr>
            <w:tcW w:w="1728" w:type="dxa"/>
          </w:tcPr>
          <w:p w14:paraId="41FD69DA" w14:textId="77777777" w:rsidR="008A45D8" w:rsidRDefault="004A087B">
            <w:r>
              <w:t>40.95</w:t>
            </w:r>
          </w:p>
        </w:tc>
      </w:tr>
    </w:tbl>
    <w:p w14:paraId="798FCFEA" w14:textId="77777777" w:rsidR="008A45D8" w:rsidRDefault="004A087B" w:rsidP="009F6CE7">
      <w:pPr>
        <w:pStyle w:val="Heading1"/>
        <w:jc w:val="center"/>
      </w:pPr>
      <w:r>
        <w:t>Operational Changes During 2025</w:t>
      </w:r>
    </w:p>
    <w:p w14:paraId="1D282F75" w14:textId="11F0B8A6" w:rsidR="008A45D8" w:rsidRDefault="004A087B">
      <w:r>
        <w:t>In January 2025, Sefam Medical Ltd relocated from a 26 m² warehouse to a 334 m² facility to accommodate business growth and increased staffing levels. This expansion significantly increased operational capacity and activity.</w:t>
      </w:r>
    </w:p>
    <w:p w14:paraId="29B1611D" w14:textId="77777777" w:rsidR="008A45D8" w:rsidRDefault="004A087B" w:rsidP="009F6CE7">
      <w:pPr>
        <w:pStyle w:val="Heading1"/>
        <w:jc w:val="center"/>
      </w:pPr>
      <w:r>
        <w:lastRenderedPageBreak/>
        <w:t>Renewable Energy Installation</w:t>
      </w:r>
    </w:p>
    <w:p w14:paraId="14E76590" w14:textId="77777777" w:rsidR="008A45D8" w:rsidRDefault="004A087B">
      <w:r>
        <w:t>Between December 2025 and January 2026, Sefam Medical Ltd installed on-site solar photovoltaic panels and battery storage at its warehouse facility. The system is expected to materially reduce Scope 2 emissions from 2026 onwards by increasing renewable self-consumption.</w:t>
      </w:r>
    </w:p>
    <w:p w14:paraId="0C2FF87E" w14:textId="77777777" w:rsidR="008A45D8" w:rsidRDefault="004A087B" w:rsidP="009F6CE7">
      <w:pPr>
        <w:pStyle w:val="Heading1"/>
        <w:jc w:val="center"/>
      </w:pPr>
      <w:r>
        <w:t>Emissions Report 2025</w:t>
      </w:r>
    </w:p>
    <w:p w14:paraId="275CAF93" w14:textId="77777777" w:rsidR="008A45D8" w:rsidRDefault="004A087B">
      <w:r>
        <w:t>Scope 1 emissions are zero as the company does not operate combustion-based heating or fossil-fuel vehicles.</w:t>
      </w:r>
    </w:p>
    <w:p w14:paraId="29C85DEA" w14:textId="77777777" w:rsidR="008A45D8" w:rsidRDefault="004A087B">
      <w:r>
        <w:t>Scope 2 emissions are reported on a location-based methodology using UK Government 2025 GHG Conversion Factors.</w:t>
      </w:r>
    </w:p>
    <w:p w14:paraId="06C7A6BD" w14:textId="77777777" w:rsidR="008A45D8" w:rsidRDefault="004A087B">
      <w:r>
        <w:t>Scope 3 emissions include only the mandatory PPN 06/21 categories: Category 4 (Upstream transport), Category 5 (Waste), Category 6 (Business travel), Category 7 (Employee commuting), and Category 9 (Downstream transport).</w:t>
      </w:r>
    </w:p>
    <w:p w14:paraId="34545423" w14:textId="77777777" w:rsidR="008A45D8" w:rsidRDefault="004A087B">
      <w:r>
        <w:t>Purchased Goods and Services (Category 1) is calculated separately for internal Net Zero strategy purposes but is excluded from the CRP compliance total as it is not mandatory under PPN 06/21.</w:t>
      </w:r>
    </w:p>
    <w:p w14:paraId="222C9464" w14:textId="77777777" w:rsidR="008A45D8" w:rsidRDefault="004A087B" w:rsidP="009F6CE7">
      <w:pPr>
        <w:pStyle w:val="Heading1"/>
        <w:jc w:val="center"/>
      </w:pPr>
      <w:r>
        <w:t>Carbon Reduction Targets</w:t>
      </w:r>
    </w:p>
    <w:p w14:paraId="2345735B" w14:textId="77777777" w:rsidR="008A45D8" w:rsidRDefault="004A087B">
      <w:r>
        <w:t>Sefam Medical Ltd commits to reducing absolute Scope 1, Scope 2 and mandatory Scope 3 emissions by 42% by 2030 against the 2023 baseline.</w:t>
      </w:r>
    </w:p>
    <w:p w14:paraId="3A673849" w14:textId="77777777" w:rsidR="008A45D8" w:rsidRDefault="004A087B">
      <w:r>
        <w:t>This target reflects operational efficiency improvements, renewable energy deployment, and transport optimisation initiatives.</w:t>
      </w:r>
    </w:p>
    <w:p w14:paraId="24E71446" w14:textId="77777777" w:rsidR="008A45D8" w:rsidRDefault="004A087B">
      <w:r>
        <w:t>Progress will be reviewed annually and strategies refined to ensure continued alignment with the UK’s Net Zero pathway.</w:t>
      </w:r>
    </w:p>
    <w:p w14:paraId="50018D68" w14:textId="77777777" w:rsidR="008A45D8" w:rsidRDefault="004A087B" w:rsidP="009F6CE7">
      <w:pPr>
        <w:pStyle w:val="Heading1"/>
        <w:jc w:val="center"/>
      </w:pPr>
      <w:r>
        <w:t>Monitoring and Review</w:t>
      </w:r>
    </w:p>
    <w:p w14:paraId="669AAFA9" w14:textId="77777777" w:rsidR="008A45D8" w:rsidRDefault="004A087B">
      <w:r>
        <w:t>A formal emissions monitoring framework commenced on 1 January 2025. Methodology will remain consistent year-on-year unless material improvements in data accuracy are implemented.</w:t>
      </w:r>
    </w:p>
    <w:p w14:paraId="5751E147" w14:textId="77777777" w:rsidR="008A45D8" w:rsidRDefault="004A087B" w:rsidP="009F6CE7">
      <w:pPr>
        <w:pStyle w:val="Heading1"/>
        <w:jc w:val="center"/>
      </w:pPr>
      <w:r>
        <w:t>Declaration and Sign Off</w:t>
      </w:r>
    </w:p>
    <w:p w14:paraId="7B3C366F" w14:textId="77777777" w:rsidR="008A45D8" w:rsidRDefault="004A087B">
      <w:r>
        <w:t>This Carbon Reduction Plan has been completed in accordance with PPN 06/21 and associated reporting standards.</w:t>
      </w:r>
    </w:p>
    <w:p w14:paraId="500131C4" w14:textId="77777777" w:rsidR="008A45D8" w:rsidRDefault="004A087B">
      <w:r>
        <w:lastRenderedPageBreak/>
        <w:t>Emissions have been reported in accordance with the GHG Protocol Corporate Standard and UK Government greenhouse gas conversion factors (2025).</w:t>
      </w:r>
    </w:p>
    <w:p w14:paraId="58DF0631" w14:textId="67C8B7C8" w:rsidR="008A45D8" w:rsidRDefault="004A087B">
      <w:r>
        <w:t>Signed on behalf of Sefam Medical Ltd:</w:t>
      </w:r>
      <w:r w:rsidR="00E744C1">
        <w:rPr>
          <w:noProof/>
        </w:rPr>
        <w:drawing>
          <wp:inline distT="0" distB="0" distL="0" distR="0" wp14:anchorId="1A3F5B5C" wp14:editId="3F1366F5">
            <wp:extent cx="918210" cy="669741"/>
            <wp:effectExtent l="0" t="0" r="0" b="0"/>
            <wp:docPr id="2015158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58214" name="Picture 2015158214"/>
                    <pic:cNvPicPr/>
                  </pic:nvPicPr>
                  <pic:blipFill>
                    <a:blip r:embed="rId8"/>
                    <a:stretch>
                      <a:fillRect/>
                    </a:stretch>
                  </pic:blipFill>
                  <pic:spPr>
                    <a:xfrm>
                      <a:off x="0" y="0"/>
                      <a:ext cx="943964" cy="688526"/>
                    </a:xfrm>
                    <a:prstGeom prst="rect">
                      <a:avLst/>
                    </a:prstGeom>
                  </pic:spPr>
                </pic:pic>
              </a:graphicData>
            </a:graphic>
          </wp:inline>
        </w:drawing>
      </w:r>
    </w:p>
    <w:p w14:paraId="7EFD6568" w14:textId="77777777" w:rsidR="008A45D8" w:rsidRDefault="004A087B">
      <w:r>
        <w:t>Michael McEwan – Managing Director</w:t>
      </w:r>
    </w:p>
    <w:p w14:paraId="5A283E4A" w14:textId="77777777" w:rsidR="008A45D8" w:rsidRDefault="004A087B">
      <w:r>
        <w:t>Date: 19 February 2026</w:t>
      </w:r>
    </w:p>
    <w:p w14:paraId="248227B2" w14:textId="77777777" w:rsidR="00E744C1" w:rsidRDefault="00E744C1"/>
    <w:p w14:paraId="2BBE08B1" w14:textId="77777777" w:rsidR="00E744C1" w:rsidRDefault="00E744C1"/>
    <w:sectPr w:rsidR="00E744C1"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B064" w14:textId="77777777" w:rsidR="00E12365" w:rsidRDefault="00E12365" w:rsidP="009F6CE7">
      <w:pPr>
        <w:spacing w:after="0" w:line="240" w:lineRule="auto"/>
      </w:pPr>
      <w:r>
        <w:separator/>
      </w:r>
    </w:p>
  </w:endnote>
  <w:endnote w:type="continuationSeparator" w:id="0">
    <w:p w14:paraId="19E2E6B1" w14:textId="77777777" w:rsidR="00E12365" w:rsidRDefault="00E12365" w:rsidP="009F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EEB9" w14:textId="77777777" w:rsidR="00E12365" w:rsidRDefault="00E12365" w:rsidP="009F6CE7">
      <w:pPr>
        <w:spacing w:after="0" w:line="240" w:lineRule="auto"/>
      </w:pPr>
      <w:r>
        <w:separator/>
      </w:r>
    </w:p>
  </w:footnote>
  <w:footnote w:type="continuationSeparator" w:id="0">
    <w:p w14:paraId="0E656FDB" w14:textId="77777777" w:rsidR="00E12365" w:rsidRDefault="00E12365" w:rsidP="009F6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B2DE" w14:textId="42C4B3A6" w:rsidR="009F6CE7" w:rsidRDefault="009F6CE7">
    <w:pPr>
      <w:pStyle w:val="Header"/>
    </w:pPr>
    <w:r>
      <w:rPr>
        <w:noProof/>
      </w:rPr>
      <w:drawing>
        <wp:anchor distT="0" distB="0" distL="114300" distR="114300" simplePos="0" relativeHeight="251658240" behindDoc="0" locked="0" layoutInCell="1" allowOverlap="1" wp14:anchorId="0F2CBA41" wp14:editId="39ED632B">
          <wp:simplePos x="0" y="0"/>
          <wp:positionH relativeFrom="margin">
            <wp:posOffset>1295400</wp:posOffset>
          </wp:positionH>
          <wp:positionV relativeFrom="margin">
            <wp:posOffset>-876300</wp:posOffset>
          </wp:positionV>
          <wp:extent cx="3060065" cy="798195"/>
          <wp:effectExtent l="0" t="0" r="635" b="1905"/>
          <wp:wrapSquare wrapText="bothSides"/>
          <wp:docPr id="111573141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31413" name="Picture 1" descr="A blue and black logo&#10;&#10;AI-generated content may be incorrect."/>
                  <pic:cNvPicPr/>
                </pic:nvPicPr>
                <pic:blipFill>
                  <a:blip r:embed="rId1"/>
                  <a:stretch>
                    <a:fillRect/>
                  </a:stretch>
                </pic:blipFill>
                <pic:spPr>
                  <a:xfrm>
                    <a:off x="0" y="0"/>
                    <a:ext cx="3060065" cy="798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173952">
    <w:abstractNumId w:val="8"/>
  </w:num>
  <w:num w:numId="2" w16cid:durableId="881206418">
    <w:abstractNumId w:val="6"/>
  </w:num>
  <w:num w:numId="3" w16cid:durableId="569923310">
    <w:abstractNumId w:val="5"/>
  </w:num>
  <w:num w:numId="4" w16cid:durableId="1703365517">
    <w:abstractNumId w:val="4"/>
  </w:num>
  <w:num w:numId="5" w16cid:durableId="591166458">
    <w:abstractNumId w:val="7"/>
  </w:num>
  <w:num w:numId="6" w16cid:durableId="897713793">
    <w:abstractNumId w:val="3"/>
  </w:num>
  <w:num w:numId="7" w16cid:durableId="1536961722">
    <w:abstractNumId w:val="2"/>
  </w:num>
  <w:num w:numId="8" w16cid:durableId="1874612085">
    <w:abstractNumId w:val="1"/>
  </w:num>
  <w:num w:numId="9" w16cid:durableId="1374619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9CA"/>
    <w:rsid w:val="0015074B"/>
    <w:rsid w:val="0029639D"/>
    <w:rsid w:val="00326F90"/>
    <w:rsid w:val="0043484C"/>
    <w:rsid w:val="004A087B"/>
    <w:rsid w:val="008A45D8"/>
    <w:rsid w:val="009F6CE7"/>
    <w:rsid w:val="00A51FA4"/>
    <w:rsid w:val="00AA1D8D"/>
    <w:rsid w:val="00AF4B58"/>
    <w:rsid w:val="00B47730"/>
    <w:rsid w:val="00CB0664"/>
    <w:rsid w:val="00D96FA5"/>
    <w:rsid w:val="00E12365"/>
    <w:rsid w:val="00E744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B05FD4"/>
  <w14:defaultImageDpi w14:val="300"/>
  <w15:docId w15:val="{B328BD1D-54F5-8C48-9E90-0953A8B4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2375</Characters>
  <Application>Microsoft Office Word</Application>
  <DocSecurity>0</DocSecurity>
  <Lines>80</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Phyllis MURPHIE</cp:lastModifiedBy>
  <cp:revision>2</cp:revision>
  <dcterms:created xsi:type="dcterms:W3CDTF">2026-02-23T12:29:00Z</dcterms:created>
  <dcterms:modified xsi:type="dcterms:W3CDTF">2026-02-23T12:29:00Z</dcterms:modified>
  <cp:category/>
</cp:coreProperties>
</file>